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proofErr w:type="gramEnd"/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</w:t>
      </w:r>
      <w:proofErr w:type="spellStart"/>
      <w:r w:rsidRPr="0080634A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47E" w:rsidRPr="0080634A">
        <w:rPr>
          <w:rFonts w:ascii="Times New Roman" w:hAnsi="Times New Roman"/>
          <w:sz w:val="28"/>
          <w:szCs w:val="28"/>
        </w:rPr>
        <w:t>сведениями</w:t>
      </w:r>
      <w:proofErr w:type="gramEnd"/>
      <w:r w:rsidR="0044747E" w:rsidRPr="0080634A">
        <w:rPr>
          <w:rFonts w:ascii="Times New Roman" w:hAnsi="Times New Roman"/>
          <w:sz w:val="28"/>
          <w:szCs w:val="28"/>
        </w:rPr>
        <w:t xml:space="preserve">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</w:t>
      </w:r>
      <w:proofErr w:type="spellStart"/>
      <w:r w:rsidR="0044747E" w:rsidRPr="0080634A">
        <w:rPr>
          <w:rFonts w:ascii="Times New Roman" w:hAnsi="Times New Roman"/>
          <w:sz w:val="28"/>
          <w:szCs w:val="28"/>
        </w:rPr>
        <w:t>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</w:t>
      </w:r>
      <w:proofErr w:type="spellEnd"/>
      <w:r w:rsidR="004B2B74" w:rsidRPr="0080634A">
        <w:rPr>
          <w:rFonts w:ascii="Times New Roman" w:hAnsi="Times New Roman"/>
          <w:sz w:val="28"/>
          <w:szCs w:val="28"/>
        </w:rPr>
        <w:t xml:space="preserve">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6. В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 xml:space="preserve"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</w:t>
      </w:r>
      <w:proofErr w:type="spellStart"/>
      <w:r w:rsidR="0064030D" w:rsidRPr="0080634A">
        <w:rPr>
          <w:rFonts w:ascii="Times New Roman" w:hAnsi="Times New Roman"/>
          <w:sz w:val="28"/>
          <w:szCs w:val="28"/>
        </w:rPr>
        <w:t>антикоррупционное</w:t>
      </w:r>
      <w:proofErr w:type="spellEnd"/>
      <w:r w:rsidR="0064030D" w:rsidRPr="0080634A">
        <w:rPr>
          <w:rFonts w:ascii="Times New Roman" w:hAnsi="Times New Roman"/>
          <w:sz w:val="28"/>
          <w:szCs w:val="28"/>
        </w:rPr>
        <w:t xml:space="preserve">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>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="00171062" w:rsidRPr="0080634A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,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proofErr w:type="spellEnd"/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документы, подтверждающие утилизацию отсутствуют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>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</w:t>
      </w:r>
      <w:proofErr w:type="gramStart"/>
      <w:r w:rsidRPr="0080634A">
        <w:rPr>
          <w:sz w:val="28"/>
          <w:szCs w:val="28"/>
          <w:lang w:bidi="he-IL"/>
        </w:rPr>
        <w:t>,</w:t>
      </w:r>
      <w:proofErr w:type="gramEnd"/>
      <w:r w:rsidRPr="0080634A">
        <w:rPr>
          <w:sz w:val="28"/>
          <w:szCs w:val="28"/>
          <w:lang w:bidi="he-IL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</w:t>
      </w:r>
      <w:proofErr w:type="gramStart"/>
      <w:r w:rsidR="00DC0AE2" w:rsidRPr="0080634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DC0AE2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Также установлено, что основанием для осуществления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Федеральный закон № 230-ФЗ не содержит ограничений по временному периоду совершения сделок, по которым может быть осуществлен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</w:t>
      </w:r>
      <w:proofErr w:type="gramStart"/>
      <w:r w:rsidRPr="0080634A">
        <w:rPr>
          <w:rFonts w:ascii="Times New Roman" w:hAnsi="Times New Roman"/>
          <w:sz w:val="28"/>
          <w:szCs w:val="28"/>
        </w:rPr>
        <w:t>и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которого процедуры контроля за расходами являются целесообразными, так как могут привести </w:t>
      </w:r>
      <w:proofErr w:type="gramStart"/>
      <w:r w:rsidRPr="0080634A">
        <w:rPr>
          <w:rFonts w:ascii="Times New Roman" w:hAnsi="Times New Roman"/>
          <w:sz w:val="28"/>
          <w:szCs w:val="28"/>
        </w:rPr>
        <w:t>к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обращено </w:t>
      </w:r>
      <w:proofErr w:type="gramStart"/>
      <w:r w:rsidRPr="0080634A">
        <w:rPr>
          <w:rFonts w:ascii="Times New Roman" w:hAnsi="Times New Roman"/>
          <w:sz w:val="28"/>
          <w:szCs w:val="28"/>
        </w:rPr>
        <w:t>в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 xml:space="preserve">озможность использования специализированных программных продуктов в целях осуществления проверки (например, </w:t>
      </w:r>
      <w:proofErr w:type="spellStart"/>
      <w:r w:rsidR="00F031B3" w:rsidRPr="0080634A">
        <w:rPr>
          <w:rFonts w:ascii="Times New Roman" w:hAnsi="Times New Roman"/>
          <w:b/>
          <w:sz w:val="28"/>
          <w:szCs w:val="28"/>
        </w:rPr>
        <w:t>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proofErr w:type="spellStart"/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proofErr w:type="spellEnd"/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«в» пункта 24 Положения о проверке установлено право служащего </w:t>
      </w:r>
      <w:proofErr w:type="gramStart"/>
      <w:r w:rsidRPr="0080634A">
        <w:rPr>
          <w:rFonts w:ascii="Times New Roman" w:hAnsi="Times New Roman"/>
          <w:sz w:val="28"/>
          <w:szCs w:val="28"/>
        </w:rPr>
        <w:t>давать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 xml:space="preserve">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proofErr w:type="spellStart"/>
      <w:r w:rsidRPr="0080634A"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80634A">
        <w:rPr>
          <w:rFonts w:ascii="Times New Roman" w:hAnsi="Times New Roman"/>
          <w:sz w:val="28"/>
          <w:szCs w:val="28"/>
          <w:lang w:eastAsia="ru-RU"/>
        </w:rPr>
        <w:t xml:space="preserve">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proofErr w:type="spellStart"/>
      <w:r w:rsidR="001A1F67" w:rsidRPr="0080634A">
        <w:rPr>
          <w:rFonts w:ascii="Times New Roman" w:hAnsi="Times New Roman"/>
          <w:sz w:val="28"/>
          <w:szCs w:val="28"/>
          <w:lang w:eastAsia="ru-RU"/>
        </w:rPr>
        <w:t>антикоррупционные</w:t>
      </w:r>
      <w:proofErr w:type="spellEnd"/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родственников служащего </w:t>
      </w:r>
      <w:proofErr w:type="spell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антикоррупционным</w:t>
      </w:r>
      <w:proofErr w:type="spell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</w:t>
      </w:r>
      <w:proofErr w:type="spellStart"/>
      <w:r w:rsidRPr="0080634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>- некорректное указание почтового адреса (вместо правильного написания «проспект Строителей» или «</w:t>
      </w:r>
      <w:proofErr w:type="spellStart"/>
      <w:r w:rsidRPr="0080634A">
        <w:rPr>
          <w:rStyle w:val="FontStyle33"/>
        </w:rPr>
        <w:t>пр-т</w:t>
      </w:r>
      <w:proofErr w:type="spellEnd"/>
      <w:r w:rsidRPr="0080634A">
        <w:rPr>
          <w:rStyle w:val="FontStyle33"/>
        </w:rPr>
        <w:t xml:space="preserve"> Строителей» указывается «пр.</w:t>
      </w:r>
      <w:proofErr w:type="gramEnd"/>
      <w:r w:rsidRPr="0080634A">
        <w:rPr>
          <w:rStyle w:val="FontStyle33"/>
        </w:rPr>
        <w:t xml:space="preserve"> </w:t>
      </w:r>
      <w:proofErr w:type="gramStart"/>
      <w:r w:rsidRPr="0080634A">
        <w:rPr>
          <w:rStyle w:val="FontStyle33"/>
        </w:rPr>
        <w:t>Строителей»);</w:t>
      </w:r>
      <w:proofErr w:type="gramEnd"/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F9" w:rsidRDefault="002364F9" w:rsidP="00C33433">
      <w:r>
        <w:separator/>
      </w:r>
    </w:p>
  </w:endnote>
  <w:endnote w:type="continuationSeparator" w:id="0">
    <w:p w:rsidR="002364F9" w:rsidRDefault="002364F9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F9" w:rsidRDefault="002364F9" w:rsidP="00C33433">
      <w:r>
        <w:separator/>
      </w:r>
    </w:p>
  </w:footnote>
  <w:footnote w:type="continuationSeparator" w:id="0">
    <w:p w:rsidR="002364F9" w:rsidRDefault="002364F9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DF6B6A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7C3E98">
      <w:rPr>
        <w:rFonts w:ascii="Times New Roman" w:hAnsi="Times New Roman"/>
        <w:noProof/>
        <w:sz w:val="28"/>
      </w:rPr>
      <w:t>13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364F9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3E9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DF6B6A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31706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2018-03-21T11:48:00Z</cp:lastPrinted>
  <dcterms:created xsi:type="dcterms:W3CDTF">2018-04-10T02:27:00Z</dcterms:created>
  <dcterms:modified xsi:type="dcterms:W3CDTF">2018-04-10T02:27:00Z</dcterms:modified>
</cp:coreProperties>
</file>